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2"/>
        <w:gridCol w:w="1779"/>
      </w:tblGrid>
      <w:tr>
        <w:trPr>
          <w:trHeight w:val="792" w:hRule="atLeast"/>
        </w:trPr>
        <w:tc>
          <w:tcPr>
            <w:tcW w:w="7452" w:type="dxa"/>
            <w:noWrap w:val="0"/>
            <w:vAlign w:val="top"/>
          </w:tcPr>
          <w:p>
            <w:pPr>
              <w:spacing w:line="1100" w:lineRule="exact"/>
              <w:jc w:val="distribute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5"/>
                <w:sz w:val="84"/>
                <w:szCs w:val="84"/>
              </w:rPr>
              <w:t>瑞安市教育局</w:t>
            </w: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1100" w:lineRule="exact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84"/>
                <w:szCs w:val="84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452" w:type="dxa"/>
            <w:noWrap w:val="0"/>
            <w:vAlign w:val="top"/>
          </w:tcPr>
          <w:p>
            <w:pPr>
              <w:spacing w:line="1100" w:lineRule="exact"/>
              <w:jc w:val="distribute"/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84"/>
                <w:szCs w:val="84"/>
              </w:rPr>
              <w:t>瑞安市社区教育工作领导小组办公室</w:t>
            </w: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pacing w:line="1100" w:lineRule="exact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84"/>
                <w:szCs w:val="8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瑞教中〔2022〕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99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before="289" w:beforeLines="100" w:line="600" w:lineRule="exact"/>
        <w:jc w:val="center"/>
        <w:rPr>
          <w:rFonts w:hint="eastAsia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62230</wp:posOffset>
                </wp:positionV>
                <wp:extent cx="5862320" cy="8890"/>
                <wp:effectExtent l="0" t="15875" r="508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7730" y="2682875"/>
                          <a:ext cx="5862320" cy="889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pt;margin-top:4.9pt;height:0.7pt;width:461.6pt;z-index:251659264;mso-width-relative:page;mso-height-relative:page;" filled="f" stroked="t" coordsize="21600,21600" o:gfxdata="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63mybYAAAACAEAAA8AAAAAAAAAAQAgAAAAIgAAAGRycy9kb3ducmV2LnhtbFBLAQIUABQA&#10;AAAIAIdO4kAVbxF48AEAALcDAAAOAAAAAAAAAAEAIAAAACcBAABkcnMvZTJvRG9jLnhtbFBLBQYA&#10;AAAABgAGAFkBAACJBQAAAAA=&#10;">
                <v:path arrowok="t"/>
                <v:fill on="f" focussize="0,0"/>
                <v:stroke weight="2.5pt" color="#FF0000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关于分解落实2022年老年人智能技术日常应用培训年度任务的通知</w:t>
      </w:r>
    </w:p>
    <w:p>
      <w:pPr>
        <w:pStyle w:val="5"/>
        <w:spacing w:before="289" w:beforeLines="100" w:line="460" w:lineRule="exact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各教育学区，各社区学校（成人校），有关老年大学：</w:t>
      </w:r>
      <w:r>
        <w:rPr>
          <w:rFonts w:hint="eastAsia" w:hAnsi="仿宋_GB2312"/>
          <w:sz w:val="32"/>
          <w:szCs w:val="32"/>
        </w:rPr>
        <w:t xml:space="preserve"> </w:t>
      </w:r>
    </w:p>
    <w:p>
      <w:pPr>
        <w:pStyle w:val="5"/>
        <w:spacing w:line="460" w:lineRule="exact"/>
        <w:ind w:firstLine="622" w:firstLineChars="200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为切实消除老年人面临的“数字鸿沟”和“网络陷阱”，进一步帮助老年人融入智慧社会、享受智慧生活，今年我市继续开展老年人智能技术日常应用培训，需要完成温州市教育局下达的15200人次的培训任务。各教育学区要根据《瑞安市老年人智能技术日常应用普及行动工作方案》（</w:t>
      </w:r>
      <w:r>
        <w:rPr>
          <w:rFonts w:hAnsi="黑体"/>
          <w:sz w:val="32"/>
          <w:szCs w:val="32"/>
        </w:rPr>
        <w:t>瑞教</w:t>
      </w:r>
      <w:r>
        <w:rPr>
          <w:rFonts w:hint="eastAsia" w:hAnsi="黑体"/>
          <w:sz w:val="32"/>
          <w:szCs w:val="32"/>
        </w:rPr>
        <w:t>中</w:t>
      </w:r>
      <w:r>
        <w:rPr>
          <w:rFonts w:hAnsi="黑体"/>
          <w:sz w:val="32"/>
          <w:szCs w:val="32"/>
        </w:rPr>
        <w:t>〔20</w:t>
      </w:r>
      <w:r>
        <w:rPr>
          <w:rFonts w:hint="eastAsia" w:hAnsi="黑体"/>
          <w:sz w:val="32"/>
          <w:szCs w:val="32"/>
        </w:rPr>
        <w:t>21</w:t>
      </w:r>
      <w:r>
        <w:rPr>
          <w:rFonts w:hAnsi="黑体"/>
          <w:sz w:val="32"/>
          <w:szCs w:val="32"/>
        </w:rPr>
        <w:t>〕</w:t>
      </w:r>
      <w:r>
        <w:rPr>
          <w:rFonts w:hint="eastAsia" w:hAnsi="黑体"/>
          <w:sz w:val="32"/>
          <w:szCs w:val="32"/>
        </w:rPr>
        <w:t>69</w:t>
      </w:r>
      <w:r>
        <w:rPr>
          <w:rFonts w:hAnsi="黑体"/>
          <w:sz w:val="32"/>
          <w:szCs w:val="32"/>
        </w:rPr>
        <w:t>号</w:t>
      </w:r>
      <w:r>
        <w:rPr>
          <w:rFonts w:hint="eastAsia" w:hAnsi="黑体"/>
          <w:sz w:val="32"/>
          <w:szCs w:val="32"/>
        </w:rPr>
        <w:t>）要求，组织辖区内老年大学、社区学校（成人校）、培训机构大力开展相关教育培训，于今年11月底前保质保量完成培训任务（年度任务分解表附后）。要加强档案材料规范管理，及时将教育培训情况录入学分银行。</w:t>
      </w:r>
    </w:p>
    <w:p>
      <w:pPr>
        <w:pStyle w:val="5"/>
        <w:spacing w:line="460" w:lineRule="exact"/>
        <w:ind w:firstLine="622" w:firstLineChars="200"/>
        <w:rPr>
          <w:rFonts w:hint="eastAsia" w:hAnsi="仿宋_GB2312"/>
          <w:sz w:val="32"/>
          <w:szCs w:val="32"/>
        </w:rPr>
      </w:pPr>
    </w:p>
    <w:p>
      <w:pPr>
        <w:pStyle w:val="5"/>
        <w:spacing w:line="460" w:lineRule="exact"/>
        <w:ind w:firstLine="622" w:firstLineChars="200"/>
        <w:rPr>
          <w:rFonts w:hint="eastAsia" w:hAnsi="黑体"/>
          <w:sz w:val="32"/>
          <w:szCs w:val="32"/>
        </w:rPr>
      </w:pPr>
      <w:r>
        <w:rPr>
          <w:rFonts w:hint="eastAsia" w:hAnsi="仿宋_GB2312"/>
          <w:sz w:val="32"/>
          <w:szCs w:val="32"/>
        </w:rPr>
        <w:t>附件：</w:t>
      </w:r>
      <w:r>
        <w:rPr>
          <w:rFonts w:hint="eastAsia" w:hAnsi="黑体"/>
          <w:sz w:val="32"/>
          <w:szCs w:val="32"/>
        </w:rPr>
        <w:t>2022年老年人智能技术日常应用培训年度任务分解表</w:t>
      </w:r>
    </w:p>
    <w:p>
      <w:pPr>
        <w:spacing w:line="4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460" w:lineRule="exact"/>
        <w:ind w:right="640" w:firstLine="31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瑞安市教育局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瑞安市社区教育工作领导小组办公室</w:t>
      </w:r>
    </w:p>
    <w:p>
      <w:pPr>
        <w:spacing w:line="460" w:lineRule="exact"/>
        <w:ind w:right="310" w:firstLine="4724" w:firstLineChars="15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</w:t>
      </w:r>
    </w:p>
    <w:p>
      <w:pPr>
        <w:spacing w:line="560" w:lineRule="exact"/>
        <w:ind w:right="31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6"/>
        <w:spacing w:after="144" w:afterLines="50"/>
        <w:ind w:firstLine="0" w:firstLineChars="0"/>
        <w:rPr>
          <w:rFonts w:hint="eastAsia" w:ascii="Times New Roman" w:hAnsi="Times New Roman" w:eastAsia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2022年老年人智能技术日常应用培训年度任务分解表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70"/>
        <w:gridCol w:w="4680"/>
        <w:gridCol w:w="141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所辖学校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60周岁以上老年人口（人）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拟分配任务数（人次）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塘下教育学区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塘下镇老年大学、塘下社区学校、鲍田社区学校、罗凤社区学校、场桥社区学校、塘河社区学校、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34782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陶山教育学区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陶山社区学校、碧山社区学校、荆谷社区学校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梦马社区分校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22068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桐浦社区学校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7774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湖岭教育学区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湖岭社区学校（老年大学）、鹿木社区学校、潮基社区学校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14247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林溪社区学校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8136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芳庄社区学校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马屿教育学区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马屿社区学校、梅屿社区学校、顺泰社区学校、江浦社区分校、河溪社区分校、篁社社区分校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26802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曹村社区学校、许岙社区分校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高楼教育学区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寨寮溪社区学校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17431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平阳坑社区学校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3995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安阳教育学区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进源社区分校、隆山社区学校、祥和社区分校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8089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玉海社区学校、沿江社区分校、忠义街社区分校、永胜门社区分校、镇海门社区分校、滨江社区分校、水心社区分校、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20278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锦湖社区学校、桃源社区分校、河埭桥社区分校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4866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潘岱社区学校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4985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东山社区学校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5332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上望社区学校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莘塍教育学区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莘塍社区学校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15511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汀田社区学校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飞云教育学区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飞云社区学校（市老年大学飞云分校）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6998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云周社区学校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5376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仙降社区学校、江溪社区学校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9279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林垟社区学校、阁巷社区学校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7107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</w:tr>
    </w:tbl>
    <w:p>
      <w:r>
        <w:rPr>
          <w:rFonts w:hint="eastAsia"/>
        </w:rPr>
        <w:t>备注：按照上级有关文件精神，原则上教育培训计划人数按各乡镇60周岁以上老年人口的6%分配，北麂乡未设立社区学校暂不列入考核。</w:t>
      </w:r>
    </w:p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1" w:firstLineChars="100"/>
      </w:pPr>
      <w:r>
        <w:rPr>
          <w:rFonts w:hint="eastAsia"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75pt;height:0pt;width:442.2pt;z-index:251660288;mso-width-relative:page;mso-height-relative:page;" coordsize="21600,21600" o:gfxdata="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aTlR1gAAAAYBAAAPAAAAAAAAAAEAIAAAACIAAABkcnMvZG93bnJldi54bWxQSwECFAAU&#10;AAAACACHTuJA5m7IjfMBAADlAwAADgAAAAAAAAABACAAAAAlAQAAZHJzL2Uyb0RvYy54bWxQSwUG&#10;AAAAAAYABgBZAQAAig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1312;mso-width-relative:page;mso-height-relative:page;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AJtO9MAAAACAQAADwAAAAAAAAABACAAAAAiAAAAZHJzL2Rvd25yZXYueG1sUEsBAhQAFAAA&#10;AAgAh07iQNTnclj0AQAA5QMAAA4AAAAAAAAAAQAgAAAAIgEAAGRycy9lMm9Eb2MueG1sUEsFBgAA&#10;AAAGAAYAWQEAAIg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瑞安市教育局办公室                        2022年4月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0" w:footer="1587" w:gutter="0"/>
      <w:paperSrc/>
      <w:pgNumType w:fmt="numberInDash"/>
      <w:cols w:space="0" w:num="1"/>
      <w:rtlGutter w:val="0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1D01"/>
    <w:rsid w:val="485B1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965</Words>
  <Characters>1134</Characters>
  <Lines>0</Lines>
  <Paragraphs>0</Paragraphs>
  <TotalTime>0</TotalTime>
  <ScaleCrop>false</ScaleCrop>
  <LinksUpToDate>false</LinksUpToDate>
  <CharactersWithSpaces>1173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2022-04-13T06:16:00Z</dcterms:created>
  <dc:creator>Administrator</dc:creator>
  <cp:lastModifiedBy>Administrator</cp:lastModifiedBy>
  <dcterms:modified xsi:type="dcterms:W3CDTF">2022-04-13T06:17:51Z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A47277861C944C2E915D1306B978C51D</vt:lpwstr>
  </property>
</Properties>
</file>